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3693F86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6C1E52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B4878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6A69405B" w:rsidR="005C2EC8" w:rsidRPr="00AB3E99" w:rsidRDefault="007901EC" w:rsidP="006C1E52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6C1E5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листопаді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25370267" w:rsidR="00183730" w:rsidRDefault="00D05DEF" w:rsidP="00183730">
      <w:pPr>
        <w:pStyle w:val="--12"/>
      </w:pPr>
      <w:r>
        <w:t xml:space="preserve">Ціни на споживчому ринку області у </w:t>
      </w:r>
      <w:r w:rsidR="006C1E52">
        <w:t>листопаді</w:t>
      </w:r>
      <w:r>
        <w:t xml:space="preserve"> 2025р. порівняно із </w:t>
      </w:r>
      <w:r w:rsidR="006C1E52">
        <w:t>жовт</w:t>
      </w:r>
      <w:r w:rsidR="00E37B35">
        <w:t>н</w:t>
      </w:r>
      <w:r>
        <w:t xml:space="preserve">ем 2025р. зросли на </w:t>
      </w:r>
      <w:r w:rsidR="00A80D3E">
        <w:t>0</w:t>
      </w:r>
      <w:r w:rsidR="006818A9">
        <w:t>,1</w:t>
      </w:r>
      <w:r>
        <w:t xml:space="preserve">%, по Україні – на </w:t>
      </w:r>
      <w:r w:rsidR="001B7167">
        <w:t>0,</w:t>
      </w:r>
      <w:r w:rsidR="00A80D3E">
        <w:t>4</w:t>
      </w:r>
      <w:r>
        <w:t xml:space="preserve">%, з початку року: по області – на </w:t>
      </w:r>
      <w:r w:rsidR="00A80D3E">
        <w:t>6,5</w:t>
      </w:r>
      <w:r>
        <w:t xml:space="preserve">%, по Україні – на </w:t>
      </w:r>
      <w:r w:rsidR="00A80D3E">
        <w:t>7,7</w:t>
      </w:r>
      <w:r w:rsidR="001B7167">
        <w:t>%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06755C" w:rsidRDefault="00FD01D8" w:rsidP="00183730">
      <w:pPr>
        <w:pStyle w:val="--12"/>
        <w:ind w:firstLine="0"/>
        <w:rPr>
          <w:sz w:val="16"/>
        </w:rPr>
        <w:sectPr w:rsidR="00FD01D8" w:rsidRPr="0006755C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0BFBE355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39A1E12E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4795122A" w:rsidR="00464B9F" w:rsidRDefault="006C1E52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</w:t>
            </w:r>
            <w:r w:rsidR="00FD01D8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76F81959" w:rsidR="00464B9F" w:rsidRDefault="006C1E52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</w:t>
            </w:r>
            <w:r w:rsidR="00FD01D8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74111D7" w:rsidR="00464B9F" w:rsidRDefault="00FD01D8" w:rsidP="00464B9F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2B62B37C" w:rsidR="00464B9F" w:rsidRDefault="00AE75DF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048C5752" w:rsidR="00464B9F" w:rsidRDefault="00AE75DF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6,5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16FE8BE8" w:rsidR="00464B9F" w:rsidRDefault="00AE75DF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3E49EFB7" w:rsidR="00464B9F" w:rsidRDefault="00AE75DF" w:rsidP="005F62E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8,4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357E0E4E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3FF7A379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8,1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1A472A55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372FBC65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10,2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3D5B4D67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72B532AB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12,9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2C65CA8D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58184396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35E5AC75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4715CB9C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21,8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2A3107F9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360BAF4D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14,7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795100A0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3391EA4B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7FD615EF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53147818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5,0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3501DBD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4391C084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4CF0138F" w:rsidR="00464B9F" w:rsidRDefault="003B487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32A5C4D" w:rsidR="00464B9F" w:rsidRDefault="00AE75DF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63DA5552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4A0803F4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8,7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308C8753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1A305345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13,5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4AF748EB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0BB54AD2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-27,0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45041FE6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4A488A94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-11,1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5BF9294E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00B27180" w:rsidR="00464B9F" w:rsidRDefault="00DE34B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11,9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8B8FF02" w:rsidR="00464B9F" w:rsidRDefault="00DE34B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C1BE2D1" w:rsidR="00464B9F" w:rsidRDefault="00DE34B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12,5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64D9513A" w:rsidR="0037204B" w:rsidRDefault="00DE34BD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000E0E18" w:rsidR="0037204B" w:rsidRDefault="00DE34BD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-3,9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63F5109" w:rsidR="0037204B" w:rsidRDefault="00DE34BD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5168E4CE" w:rsidR="0037204B" w:rsidRDefault="00DE34BD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-1,8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40E0E237" w:rsidR="0037204B" w:rsidRDefault="00C7234C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0E534155" w:rsidR="0037204B" w:rsidRDefault="00C7234C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-7,3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1090CCD5" w14:textId="77777777" w:rsidR="00FD01D8" w:rsidRDefault="00FD01D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6C1E52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Default="006C1E52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4615AD87" w:rsidR="006C1E52" w:rsidRDefault="006C1E52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C1E52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Default="006C1E52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79C64A52" w:rsidR="006C1E52" w:rsidRDefault="006C1E52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Жовтня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21E20FF0" w:rsidR="006C1E52" w:rsidRDefault="00E07E7C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5F55C243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780A6944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275493E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2887ACF6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7803203F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2AF90AA6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2F1A3C3A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1C854035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3EFD0181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0B2F79F3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376608B7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6069191D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3AF55610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70F36632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44A489D2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748084A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2172F845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52AB2C6F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BD46F1A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6FB6E493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566BDB14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02C07BE4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0905960E" w:rsidR="00B128E5" w:rsidRDefault="00453968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C7234C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77846C35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-2,0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2E3828AA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3B7CBB87" w:rsidR="00B128E5" w:rsidRDefault="00C7234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12,3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3B33059B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2F6AE3CD" w:rsidR="00B128E5" w:rsidRDefault="00C7234C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252243BB" w:rsidR="00B128E5" w:rsidRDefault="00E07E7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2E8D326E" w:rsidR="00B128E5" w:rsidRDefault="00E07E7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7,3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79D46319" w:rsidR="00B128E5" w:rsidRDefault="00E07E7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63EABEAD" w:rsidR="00B128E5" w:rsidRDefault="00E07E7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4,6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3FA1D1C8" w:rsidR="00B128E5" w:rsidRDefault="00E07E7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3DF9C4D1" w:rsidR="00B128E5" w:rsidRDefault="00E07E7C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-3,6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226C53D4" w:rsidR="00B128E5" w:rsidRDefault="00ED0AC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30D8B380" w:rsidR="00B128E5" w:rsidRDefault="00ED0AC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046AF3EB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bookmarkStart w:id="1" w:name="_GoBack"/>
            <w:bookmarkEnd w:id="1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161C3D9D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11,7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54746F33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11DAD617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1353ECAD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15AB64CB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14,2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6B467F35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0A8B0EB1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14,3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13BF4849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2C44E3E6" w:rsidR="00B128E5" w:rsidRDefault="00ED0AC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5414553" w14:textId="6DEF0D68" w:rsidR="00EF12EA" w:rsidRDefault="00EF12EA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EF12E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області </w:t>
            </w:r>
            <w:r w:rsidR="00581EA9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>листопад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і ціни на продукти харчування та безалкогольні напої зросли на 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>0,2</w:t>
            </w:r>
            <w:r w:rsidRPr="00EF12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%</w:t>
            </w:r>
            <w:r w:rsidR="007B6ED0">
              <w:rPr>
                <w:rFonts w:ascii="Calibri" w:hAnsi="Calibri"/>
                <w:color w:val="22517D"/>
                <w:sz w:val="22"/>
                <w:szCs w:val="22"/>
              </w:rPr>
              <w:t>. Найбільше (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16,3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подорожчали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яйц</w:t>
            </w:r>
            <w:r w:rsidR="00C80EAA">
              <w:rPr>
                <w:rFonts w:ascii="Calibri" w:hAnsi="Calibri"/>
                <w:color w:val="22517D"/>
                <w:sz w:val="22"/>
                <w:szCs w:val="22"/>
              </w:rPr>
              <w:t>я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>6,3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 зросли ціни на 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овочі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крупи гречані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B472C" w:rsidRPr="00EF12EA">
              <w:rPr>
                <w:rFonts w:ascii="Calibri" w:hAnsi="Calibri"/>
                <w:color w:val="22517D"/>
                <w:sz w:val="22"/>
                <w:szCs w:val="22"/>
              </w:rPr>
              <w:t>сир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молоко, 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>сало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A520A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хліб, 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>сметану,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рис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. Водночас 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>2,4</w:t>
            </w:r>
            <w:r w:rsidR="001A4DA0" w:rsidRPr="00EF12E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0,4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8303B">
              <w:rPr>
                <w:rFonts w:ascii="Calibri" w:hAnsi="Calibri"/>
                <w:color w:val="22517D"/>
                <w:sz w:val="22"/>
                <w:szCs w:val="22"/>
              </w:rPr>
              <w:t>знизилися ціни на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масло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безалкогольні напої, 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цукор,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фрукти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макаронні вироби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B4878">
              <w:rPr>
                <w:rFonts w:ascii="Calibri" w:hAnsi="Calibri"/>
                <w:color w:val="22517D"/>
                <w:sz w:val="22"/>
                <w:szCs w:val="22"/>
              </w:rPr>
              <w:t>рибу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 xml:space="preserve"> та прод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укти з риби, </w:t>
            </w:r>
            <w:r w:rsidR="003B4878">
              <w:rPr>
                <w:rFonts w:ascii="Calibri" w:hAnsi="Calibri"/>
                <w:color w:val="22517D"/>
                <w:sz w:val="22"/>
                <w:szCs w:val="22"/>
              </w:rPr>
              <w:t>соняшникову олію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, м’ясо та м’ясопродукти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29D5137C" w14:textId="77777777" w:rsidR="006E3757" w:rsidRDefault="006E3757" w:rsidP="006E3757">
            <w:pPr>
              <w:ind w:left="57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6EE3D64" w14:textId="77777777" w:rsidR="003F275B" w:rsidRPr="006E3757" w:rsidRDefault="003F275B" w:rsidP="006E3757">
            <w:pPr>
              <w:ind w:left="57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59E22FA" w14:textId="625A6859" w:rsid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у </w:t>
            </w:r>
            <w:proofErr w:type="spellStart"/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т.ч</w:t>
            </w:r>
            <w:proofErr w:type="spellEnd"/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F645EB">
              <w:rPr>
                <w:rFonts w:ascii="Calibri" w:hAnsi="Calibri"/>
                <w:color w:val="22517D"/>
                <w:sz w:val="22"/>
                <w:szCs w:val="22"/>
              </w:rPr>
              <w:t>алкогольні напої – на 1,8%,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 тютюнові вироби —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EB472C">
              <w:rPr>
                <w:rFonts w:ascii="Calibri" w:hAnsi="Calibri"/>
                <w:color w:val="22517D"/>
                <w:sz w:val="22"/>
                <w:szCs w:val="22"/>
              </w:rPr>
              <w:t>0,9</w:t>
            </w:r>
            <w:r w:rsidR="00EA07BE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F645EB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62F9D37" w14:textId="77777777" w:rsidR="00F645EB" w:rsidRDefault="00F645EB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CB5F0EE" w14:textId="77777777" w:rsidR="003F275B" w:rsidRPr="00EF12EA" w:rsidRDefault="003F275B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CE2DFAF" w14:textId="44CDBF18" w:rsidR="00273B54" w:rsidRPr="00EF12EA" w:rsidRDefault="00F645EB" w:rsidP="00F645EB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подешевшали 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C9581C" w:rsidRPr="00C9581C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>%,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зокрема, взуття – на 1,4%, одяг – на 0,8%.</w:t>
            </w:r>
          </w:p>
          <w:p w14:paraId="46532B19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2D6414B" w14:textId="77777777" w:rsidR="003A2E2D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1AE8BEDE" w14:textId="77777777" w:rsidR="003F275B" w:rsidRPr="00EF12EA" w:rsidRDefault="003F275B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DADA7E6" w14:textId="0E736E97" w:rsidR="00EF12EA" w:rsidRPr="00EF12EA" w:rsidRDefault="001A4DA0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зросли на </w:t>
            </w:r>
            <w:r w:rsidR="00F645EB">
              <w:rPr>
                <w:rFonts w:ascii="Calibri" w:hAnsi="Calibri"/>
                <w:color w:val="22517D"/>
                <w:sz w:val="22"/>
                <w:szCs w:val="22"/>
              </w:rPr>
              <w:t>1,4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 в основному через подорожчання проїзду в автодорожньому</w:t>
            </w:r>
            <w:r w:rsidR="00812C64">
              <w:rPr>
                <w:rFonts w:ascii="Calibri" w:hAnsi="Calibri"/>
                <w:color w:val="22517D"/>
                <w:sz w:val="22"/>
                <w:szCs w:val="22"/>
              </w:rPr>
              <w:t xml:space="preserve"> пасажирському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транспорті на 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>2,1%, а також палива та мастил на 1,1%</w:t>
            </w:r>
            <w:r w:rsidR="00CE6611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19E14AAA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  <w:lang w:val="ru-RU"/>
              </w:rPr>
            </w:pPr>
          </w:p>
          <w:p w14:paraId="7E639FC0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14AFDBFB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5941A078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4BC69432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9481BD2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597945F3" w:rsidR="00246029" w:rsidRPr="00612475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</w:rPr>
              <w:t xml:space="preserve">положення: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</w:p>
          <w:p w14:paraId="7E9EBC46" w14:textId="225C07D4" w:rsidR="00612475" w:rsidRPr="006E3757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6014519F" w:rsidR="00356050" w:rsidRPr="00356050" w:rsidRDefault="00356050" w:rsidP="00AA5589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2CFD6" w14:textId="77777777" w:rsidR="00187B3C" w:rsidRDefault="00187B3C" w:rsidP="005345A4">
      <w:r>
        <w:separator/>
      </w:r>
    </w:p>
  </w:endnote>
  <w:endnote w:type="continuationSeparator" w:id="0">
    <w:p w14:paraId="647A6915" w14:textId="77777777" w:rsidR="00187B3C" w:rsidRDefault="00187B3C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477434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A2F6E" w14:textId="77777777" w:rsidR="00187B3C" w:rsidRDefault="00187B3C" w:rsidP="005345A4">
      <w:r>
        <w:separator/>
      </w:r>
    </w:p>
  </w:footnote>
  <w:footnote w:type="continuationSeparator" w:id="0">
    <w:p w14:paraId="23E5AF90" w14:textId="77777777" w:rsidR="00187B3C" w:rsidRDefault="00187B3C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3F17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AA0"/>
    <w:rsid w:val="00264E6D"/>
    <w:rsid w:val="00273B54"/>
    <w:rsid w:val="00275999"/>
    <w:rsid w:val="00275BFA"/>
    <w:rsid w:val="002823A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9719D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487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42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665"/>
    <w:rsid w:val="005A272A"/>
    <w:rsid w:val="005A33D3"/>
    <w:rsid w:val="005A342E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8BA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C119B"/>
    <w:rsid w:val="009C4056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3909"/>
    <w:rsid w:val="00A54514"/>
    <w:rsid w:val="00A56C6B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8CA"/>
    <w:rsid w:val="00B9620F"/>
    <w:rsid w:val="00B976B0"/>
    <w:rsid w:val="00BA0DAC"/>
    <w:rsid w:val="00BA3D5E"/>
    <w:rsid w:val="00BA5516"/>
    <w:rsid w:val="00BA75C3"/>
    <w:rsid w:val="00BB3F8D"/>
    <w:rsid w:val="00BB458E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7C9"/>
    <w:rsid w:val="00C55F91"/>
    <w:rsid w:val="00C57848"/>
    <w:rsid w:val="00C6243C"/>
    <w:rsid w:val="00C6318A"/>
    <w:rsid w:val="00C66A28"/>
    <w:rsid w:val="00C66BCC"/>
    <w:rsid w:val="00C7234C"/>
    <w:rsid w:val="00C72B29"/>
    <w:rsid w:val="00C76A1D"/>
    <w:rsid w:val="00C76D8D"/>
    <w:rsid w:val="00C7717E"/>
    <w:rsid w:val="00C77237"/>
    <w:rsid w:val="00C80DA8"/>
    <w:rsid w:val="00C80EAA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6611"/>
    <w:rsid w:val="00CE68D9"/>
    <w:rsid w:val="00CE6918"/>
    <w:rsid w:val="00CF2955"/>
    <w:rsid w:val="00D02A57"/>
    <w:rsid w:val="00D05C36"/>
    <w:rsid w:val="00D05DEF"/>
    <w:rsid w:val="00D12CC7"/>
    <w:rsid w:val="00D13457"/>
    <w:rsid w:val="00D13BC4"/>
    <w:rsid w:val="00D1568E"/>
    <w:rsid w:val="00D158AB"/>
    <w:rsid w:val="00D179C9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37B35"/>
    <w:rsid w:val="00E42236"/>
    <w:rsid w:val="00E45D5E"/>
    <w:rsid w:val="00E461D9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48DC"/>
    <w:rsid w:val="00EA4EC7"/>
    <w:rsid w:val="00EA5E05"/>
    <w:rsid w:val="00EB0FB7"/>
    <w:rsid w:val="00EB11F3"/>
    <w:rsid w:val="00EB1754"/>
    <w:rsid w:val="00EB43DF"/>
    <w:rsid w:val="00EB472C"/>
    <w:rsid w:val="00EB5F0B"/>
    <w:rsid w:val="00EB67CE"/>
    <w:rsid w:val="00EC6435"/>
    <w:rsid w:val="00ED0AC4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45EB"/>
    <w:rsid w:val="00F6627F"/>
    <w:rsid w:val="00F7093F"/>
    <w:rsid w:val="00F7467D"/>
    <w:rsid w:val="00F754B2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646369203849529E-2"/>
                  <c:y val="5.223651200793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6772353455818024E-2"/>
                  <c:y val="-1.6861492508304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6322309711286123E-2"/>
                  <c:y val="2.421227875908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11198600174978E-2"/>
                  <c:y val="2.421227875908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9655643044619507E-2"/>
                  <c:y val="2.421227875908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544531933508314E-2"/>
                  <c:y val="-4.7239491296130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7813823272090983E-2"/>
                  <c:y val="-5.05225901650244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2293263342082238E-2"/>
                  <c:y val="-1.6861492508304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7155905511811025E-2"/>
                  <c:y val="4.8614822789892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6888188976377951E-2"/>
                  <c:y val="-2.17730984341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196010498687664E-2"/>
                  <c:y val="-2.7479010722880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2</c:v>
                </c:pt>
                <c:pt idx="1">
                  <c:v>2</c:v>
                </c:pt>
                <c:pt idx="2">
                  <c:v>0.7</c:v>
                </c:pt>
                <c:pt idx="3">
                  <c:v>0.6</c:v>
                </c:pt>
                <c:pt idx="4">
                  <c:v>1</c:v>
                </c:pt>
                <c:pt idx="5">
                  <c:v>0.6</c:v>
                </c:pt>
                <c:pt idx="6">
                  <c:v>1.1000000000000001</c:v>
                </c:pt>
                <c:pt idx="7">
                  <c:v>1.2</c:v>
                </c:pt>
                <c:pt idx="8">
                  <c:v>-0.4</c:v>
                </c:pt>
                <c:pt idx="9">
                  <c:v>-0.2</c:v>
                </c:pt>
                <c:pt idx="10">
                  <c:v>0.5</c:v>
                </c:pt>
                <c:pt idx="11">
                  <c:v>1.1000000000000001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0100832"/>
        <c:axId val="330101392"/>
      </c:lineChart>
      <c:catAx>
        <c:axId val="33010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101392"/>
        <c:crosses val="autoZero"/>
        <c:auto val="1"/>
        <c:lblAlgn val="ctr"/>
        <c:lblOffset val="100"/>
        <c:noMultiLvlLbl val="0"/>
      </c:catAx>
      <c:valAx>
        <c:axId val="330101392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10083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0.7</c:v>
                </c:pt>
                <c:pt idx="1">
                  <c:v>1.3</c:v>
                </c:pt>
                <c:pt idx="2">
                  <c:v>2.2999999999999998</c:v>
                </c:pt>
                <c:pt idx="3">
                  <c:v>2.9</c:v>
                </c:pt>
                <c:pt idx="4">
                  <c:v>4.0999999999999996</c:v>
                </c:pt>
                <c:pt idx="5">
                  <c:v>5.3</c:v>
                </c:pt>
                <c:pt idx="6">
                  <c:v>4.9000000000000004</c:v>
                </c:pt>
                <c:pt idx="7">
                  <c:v>4.7</c:v>
                </c:pt>
                <c:pt idx="8">
                  <c:v>5.2</c:v>
                </c:pt>
                <c:pt idx="9">
                  <c:v>6.4</c:v>
                </c:pt>
                <c:pt idx="10">
                  <c:v>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0103632"/>
        <c:axId val="330104192"/>
      </c:lineChart>
      <c:catAx>
        <c:axId val="33010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104192"/>
        <c:crosses val="autoZero"/>
        <c:auto val="1"/>
        <c:lblAlgn val="ctr"/>
        <c:lblOffset val="100"/>
        <c:noMultiLvlLbl val="0"/>
      </c:catAx>
      <c:valAx>
        <c:axId val="330104192"/>
        <c:scaling>
          <c:orientation val="minMax"/>
          <c:max val="7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103632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755385670653223E-3"/>
                  <c:y val="-3.4849269473693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984263594344528E-2"/>
                  <c:y val="-4.803282389026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202782894070363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89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9547422634182967E-2"/>
                  <c:y val="3.940991355844431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5437787635752605E-2"/>
                  <c:y val="1.1618488666994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7933324143383151E-2"/>
                  <c:y val="-4.815763965423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9301187330491088E-2"/>
                  <c:y val="-4.5964954212089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4.4000000000000004</c:v>
                </c:pt>
                <c:pt idx="1">
                  <c:v>2.4</c:v>
                </c:pt>
                <c:pt idx="2">
                  <c:v>0.8</c:v>
                </c:pt>
                <c:pt idx="3">
                  <c:v>0.6</c:v>
                </c:pt>
                <c:pt idx="4">
                  <c:v>0.9</c:v>
                </c:pt>
                <c:pt idx="5">
                  <c:v>1.8</c:v>
                </c:pt>
                <c:pt idx="6">
                  <c:v>2</c:v>
                </c:pt>
                <c:pt idx="7">
                  <c:v>2.5</c:v>
                </c:pt>
                <c:pt idx="8">
                  <c:v>-1.4</c:v>
                </c:pt>
                <c:pt idx="9">
                  <c:v>-1</c:v>
                </c:pt>
                <c:pt idx="10">
                  <c:v>0.1</c:v>
                </c:pt>
                <c:pt idx="11">
                  <c:v>1.7</c:v>
                </c:pt>
                <c:pt idx="12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813664"/>
        <c:axId val="329814224"/>
      </c:lineChart>
      <c:catAx>
        <c:axId val="32981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9814224"/>
        <c:crosses val="autoZero"/>
        <c:auto val="1"/>
        <c:lblAlgn val="ctr"/>
        <c:lblOffset val="200"/>
        <c:noMultiLvlLbl val="0"/>
      </c:catAx>
      <c:valAx>
        <c:axId val="329814224"/>
        <c:scaling>
          <c:orientation val="minMax"/>
          <c:max val="5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981366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8721772043839388E-3"/>
                  <c:y val="2.02095311441887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315E-2"/>
                  <c:y val="-5.7207225150819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1935602808138747E-3"/>
                  <c:y val="-9.09340379670079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0.6</c:v>
                </c:pt>
                <c:pt idx="1">
                  <c:v>0</c:v>
                </c:pt>
                <c:pt idx="2" formatCode="General">
                  <c:v>0.2</c:v>
                </c:pt>
                <c:pt idx="3" formatCode="General">
                  <c:v>0.1</c:v>
                </c:pt>
                <c:pt idx="4" formatCode="General">
                  <c:v>0.2</c:v>
                </c:pt>
                <c:pt idx="5" formatCode="General">
                  <c:v>0.1</c:v>
                </c:pt>
                <c:pt idx="6" formatCode="General">
                  <c:v>0.1</c:v>
                </c:pt>
                <c:pt idx="7" formatCode="General">
                  <c:v>0.1</c:v>
                </c:pt>
                <c:pt idx="8" formatCode="General">
                  <c:v>0.3</c:v>
                </c:pt>
                <c:pt idx="9" formatCode="General">
                  <c:v>0.2</c:v>
                </c:pt>
                <c:pt idx="10" formatCode="General">
                  <c:v>0.2</c:v>
                </c:pt>
                <c:pt idx="11" formatCode="General">
                  <c:v>0.6</c:v>
                </c:pt>
                <c:pt idx="12" formatCode="General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816464"/>
        <c:axId val="329817024"/>
      </c:lineChart>
      <c:catAx>
        <c:axId val="32981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9817024"/>
        <c:crosses val="autoZero"/>
        <c:auto val="1"/>
        <c:lblAlgn val="ctr"/>
        <c:lblOffset val="200"/>
        <c:noMultiLvlLbl val="0"/>
      </c:catAx>
      <c:valAx>
        <c:axId val="329817024"/>
        <c:scaling>
          <c:orientation val="minMax"/>
          <c:max val="1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9816464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8721772043839388E-3"/>
                  <c:y val="-2.0463588763040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0539289528273208E-2"/>
                  <c:y val="-3.3350595087924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5912420882002701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4349459481454295E-2"/>
                  <c:y val="1.9420801742109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8198243833737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1580748936650796E-2"/>
                  <c:y val="-8.5997176153992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9.5589654330542659E-2"/>
                  <c:y val="1.1618488666994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4.81576396542338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264E-2"/>
                  <c:y val="-5.720722515081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-0.4</c:v>
                </c:pt>
                <c:pt idx="1">
                  <c:v>0.5</c:v>
                </c:pt>
                <c:pt idx="2">
                  <c:v>0.9</c:v>
                </c:pt>
                <c:pt idx="3">
                  <c:v>1.1000000000000001</c:v>
                </c:pt>
                <c:pt idx="4">
                  <c:v>-0.2</c:v>
                </c:pt>
                <c:pt idx="5">
                  <c:v>0.1</c:v>
                </c:pt>
                <c:pt idx="6">
                  <c:v>0.1</c:v>
                </c:pt>
                <c:pt idx="7">
                  <c:v>0.7</c:v>
                </c:pt>
                <c:pt idx="8">
                  <c:v>1.6</c:v>
                </c:pt>
                <c:pt idx="9">
                  <c:v>-0.4</c:v>
                </c:pt>
                <c:pt idx="10">
                  <c:v>0.1</c:v>
                </c:pt>
                <c:pt idx="11">
                  <c:v>0.1</c:v>
                </c:pt>
                <c:pt idx="12">
                  <c:v>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819264"/>
        <c:axId val="329819824"/>
      </c:lineChart>
      <c:catAx>
        <c:axId val="32981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9819824"/>
        <c:crosses val="autoZero"/>
        <c:auto val="1"/>
        <c:lblAlgn val="ctr"/>
        <c:lblOffset val="200"/>
        <c:noMultiLvlLbl val="0"/>
      </c:catAx>
      <c:valAx>
        <c:axId val="32981982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981926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A0A74-00B1-422F-9ACB-A3B34238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3401</Words>
  <Characters>1940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Наталія Казбан</cp:lastModifiedBy>
  <cp:revision>64</cp:revision>
  <dcterms:created xsi:type="dcterms:W3CDTF">2025-09-19T08:12:00Z</dcterms:created>
  <dcterms:modified xsi:type="dcterms:W3CDTF">2025-12-11T12:43:00Z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